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B6" w:rsidRPr="00152571" w:rsidRDefault="00A860B6" w:rsidP="00A860B6">
      <w:pPr>
        <w:spacing w:after="0"/>
        <w:ind w:left="4956" w:firstLine="708"/>
        <w:rPr>
          <w:rFonts w:ascii="Tahoma" w:hAnsi="Tahoma" w:cs="Tahoma"/>
          <w:i/>
          <w:sz w:val="24"/>
          <w:szCs w:val="24"/>
        </w:rPr>
      </w:pPr>
      <w:r>
        <w:rPr>
          <w:rFonts w:ascii="Tahoma" w:hAnsi="Tahoma" w:cs="Tahoma"/>
          <w:noProof/>
          <w:sz w:val="24"/>
          <w:szCs w:val="24"/>
          <w:lang w:eastAsia="it-IT"/>
        </w:rPr>
        <w:drawing>
          <wp:anchor distT="0" distB="0" distL="114300" distR="114300" simplePos="0" relativeHeight="251658240" behindDoc="0" locked="0" layoutInCell="1" allowOverlap="1">
            <wp:simplePos x="3600450" y="666750"/>
            <wp:positionH relativeFrom="margin">
              <wp:align>left</wp:align>
            </wp:positionH>
            <wp:positionV relativeFrom="margin">
              <wp:align>top</wp:align>
            </wp:positionV>
            <wp:extent cx="1079500" cy="1079500"/>
            <wp:effectExtent l="0" t="0" r="635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ovimen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Pr="00152571">
        <w:rPr>
          <w:rFonts w:ascii="Tahoma" w:hAnsi="Tahoma" w:cs="Tahoma"/>
          <w:i/>
          <w:sz w:val="24"/>
          <w:szCs w:val="24"/>
        </w:rPr>
        <w:t>Al Sindaco di Montepulciano Andrea Rossi</w:t>
      </w:r>
    </w:p>
    <w:p w:rsidR="00A860B6" w:rsidRPr="00152571" w:rsidRDefault="00A860B6" w:rsidP="00A860B6">
      <w:pPr>
        <w:spacing w:after="0"/>
        <w:ind w:left="3540" w:firstLine="708"/>
        <w:jc w:val="center"/>
        <w:rPr>
          <w:rFonts w:ascii="Tahoma" w:hAnsi="Tahoma" w:cs="Tahoma"/>
          <w:i/>
          <w:sz w:val="24"/>
          <w:szCs w:val="24"/>
        </w:rPr>
      </w:pPr>
      <w:r>
        <w:rPr>
          <w:rFonts w:ascii="Tahoma" w:hAnsi="Tahoma" w:cs="Tahoma"/>
          <w:i/>
          <w:sz w:val="24"/>
          <w:szCs w:val="24"/>
        </w:rPr>
        <w:t xml:space="preserve">  </w:t>
      </w:r>
      <w:r w:rsidRPr="00152571">
        <w:rPr>
          <w:rFonts w:ascii="Tahoma" w:hAnsi="Tahoma" w:cs="Tahoma"/>
          <w:i/>
          <w:sz w:val="24"/>
          <w:szCs w:val="24"/>
        </w:rPr>
        <w:t>Al Presidente del Consiglio Comunale Lorenzo Bui</w:t>
      </w:r>
    </w:p>
    <w:p w:rsidR="00A860B6" w:rsidRDefault="00A860B6" w:rsidP="00A860B6">
      <w:pPr>
        <w:spacing w:after="0"/>
        <w:ind w:left="6372"/>
        <w:rPr>
          <w:rFonts w:ascii="Tahoma" w:hAnsi="Tahoma" w:cs="Tahoma"/>
          <w:i/>
          <w:sz w:val="24"/>
          <w:szCs w:val="24"/>
        </w:rPr>
      </w:pPr>
      <w:r>
        <w:rPr>
          <w:rFonts w:ascii="Tahoma" w:hAnsi="Tahoma" w:cs="Tahoma"/>
          <w:i/>
          <w:sz w:val="24"/>
          <w:szCs w:val="24"/>
        </w:rPr>
        <w:t xml:space="preserve">        </w:t>
      </w:r>
      <w:r w:rsidRPr="00152571">
        <w:rPr>
          <w:rFonts w:ascii="Tahoma" w:hAnsi="Tahoma" w:cs="Tahoma"/>
          <w:i/>
          <w:sz w:val="24"/>
          <w:szCs w:val="24"/>
        </w:rPr>
        <w:t>e p.c. ai Consiglieri Comunali</w:t>
      </w:r>
    </w:p>
    <w:p w:rsidR="00A860B6" w:rsidRPr="00152571" w:rsidRDefault="00A860B6" w:rsidP="00A860B6">
      <w:pPr>
        <w:spacing w:after="0"/>
        <w:ind w:left="6372"/>
        <w:rPr>
          <w:rFonts w:ascii="Tahoma" w:hAnsi="Tahoma" w:cs="Tahoma"/>
          <w:i/>
          <w:sz w:val="24"/>
          <w:szCs w:val="24"/>
        </w:rPr>
      </w:pPr>
      <w:r>
        <w:rPr>
          <w:rFonts w:ascii="Tahoma" w:hAnsi="Tahoma" w:cs="Tahoma"/>
          <w:i/>
          <w:sz w:val="24"/>
          <w:szCs w:val="24"/>
        </w:rPr>
        <w:t xml:space="preserve">        e p.c. a Nuove Acque S.P.A.</w:t>
      </w:r>
    </w:p>
    <w:p w:rsidR="00A860B6" w:rsidRDefault="00A860B6" w:rsidP="00A860B6">
      <w:pPr>
        <w:spacing w:after="0"/>
        <w:ind w:left="6372"/>
        <w:rPr>
          <w:rFonts w:ascii="Tahoma" w:hAnsi="Tahoma" w:cs="Tahoma"/>
          <w:i/>
          <w:sz w:val="24"/>
          <w:szCs w:val="24"/>
        </w:rPr>
      </w:pPr>
    </w:p>
    <w:p w:rsidR="00A860B6" w:rsidRPr="00A860B6" w:rsidRDefault="00A227D1" w:rsidP="00A227D1">
      <w:pPr>
        <w:pStyle w:val="Normale1"/>
        <w:ind w:left="2832" w:firstLine="708"/>
        <w:rPr>
          <w:rFonts w:ascii="Tahoma" w:hAnsi="Tahoma" w:cs="Tahoma"/>
          <w:b/>
          <w:sz w:val="24"/>
          <w:szCs w:val="24"/>
        </w:rPr>
      </w:pPr>
      <w:r>
        <w:rPr>
          <w:rFonts w:ascii="Tahoma" w:hAnsi="Tahoma" w:cs="Tahoma"/>
          <w:b/>
          <w:sz w:val="24"/>
          <w:szCs w:val="24"/>
        </w:rPr>
        <w:t xml:space="preserve">    </w:t>
      </w:r>
      <w:r w:rsidR="00A860B6" w:rsidRPr="00A860B6">
        <w:rPr>
          <w:rFonts w:ascii="Tahoma" w:hAnsi="Tahoma" w:cs="Tahoma"/>
          <w:b/>
          <w:sz w:val="24"/>
          <w:szCs w:val="24"/>
        </w:rPr>
        <w:t>INTERROGAZIONE</w:t>
      </w:r>
    </w:p>
    <w:p w:rsidR="00A860B6" w:rsidRPr="00A860B6" w:rsidRDefault="00A860B6" w:rsidP="00A860B6">
      <w:pPr>
        <w:pStyle w:val="Normale1"/>
        <w:jc w:val="both"/>
        <w:rPr>
          <w:rFonts w:ascii="Tahoma" w:hAnsi="Tahoma" w:cs="Tahoma"/>
          <w:sz w:val="24"/>
          <w:szCs w:val="24"/>
        </w:rPr>
      </w:pPr>
    </w:p>
    <w:p w:rsidR="00A860B6" w:rsidRPr="00A227D1" w:rsidRDefault="00A860B6" w:rsidP="00A860B6">
      <w:pPr>
        <w:pStyle w:val="Normale1"/>
        <w:jc w:val="both"/>
        <w:rPr>
          <w:rFonts w:ascii="Tahoma" w:hAnsi="Tahoma" w:cs="Tahoma"/>
          <w:sz w:val="24"/>
          <w:szCs w:val="24"/>
        </w:rPr>
      </w:pPr>
      <w:r>
        <w:rPr>
          <w:rFonts w:ascii="Tahoma" w:hAnsi="Tahoma" w:cs="Tahoma"/>
          <w:b/>
          <w:sz w:val="24"/>
          <w:szCs w:val="24"/>
        </w:rPr>
        <w:t xml:space="preserve">Oggetto: </w:t>
      </w:r>
      <w:r w:rsidRPr="00A227D1">
        <w:rPr>
          <w:rFonts w:ascii="Tahoma" w:hAnsi="Tahoma" w:cs="Tahoma"/>
          <w:sz w:val="24"/>
          <w:szCs w:val="24"/>
        </w:rPr>
        <w:t>Interrogazione su</w:t>
      </w:r>
      <w:r w:rsidR="00A227D1" w:rsidRPr="00A227D1">
        <w:rPr>
          <w:rFonts w:ascii="Tahoma" w:hAnsi="Tahoma" w:cs="Tahoma"/>
          <w:sz w:val="24"/>
          <w:szCs w:val="24"/>
        </w:rPr>
        <w:t>l</w:t>
      </w:r>
      <w:r w:rsidRPr="00A227D1">
        <w:rPr>
          <w:rFonts w:ascii="Tahoma" w:hAnsi="Tahoma" w:cs="Tahoma"/>
          <w:sz w:val="24"/>
          <w:szCs w:val="24"/>
        </w:rPr>
        <w:t xml:space="preserve"> Bilancio</w:t>
      </w:r>
      <w:r w:rsidR="00A227D1" w:rsidRPr="00A227D1">
        <w:rPr>
          <w:rFonts w:ascii="Tahoma" w:hAnsi="Tahoma" w:cs="Tahoma"/>
          <w:sz w:val="24"/>
          <w:szCs w:val="24"/>
        </w:rPr>
        <w:t xml:space="preserve"> Nuove Acque, </w:t>
      </w:r>
      <w:r w:rsidRPr="00A227D1">
        <w:rPr>
          <w:rFonts w:ascii="Tahoma" w:hAnsi="Tahoma" w:cs="Tahoma"/>
          <w:sz w:val="24"/>
          <w:szCs w:val="24"/>
        </w:rPr>
        <w:t>dividendi e debiti.</w:t>
      </w:r>
    </w:p>
    <w:p w:rsidR="00A860B6" w:rsidRPr="00A860B6" w:rsidRDefault="00A860B6" w:rsidP="00A860B6">
      <w:pPr>
        <w:pStyle w:val="Normale1"/>
        <w:jc w:val="both"/>
        <w:rPr>
          <w:rFonts w:ascii="Tahoma" w:hAnsi="Tahoma" w:cs="Tahoma"/>
          <w:sz w:val="24"/>
          <w:szCs w:val="24"/>
        </w:rPr>
      </w:pP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Analizzando il bilancio 2014 di Nuove Acque S.P.A. approvato dall’Assemblea dei soci lo scorso 28 aprile, si evidenziano delle situazioni di indebitamento piuttosto preoccupanti che ci fanno pensare ad esorbitanti aumenti delle tariffe negli anni a venire.</w:t>
      </w: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Esaminando il Conto Economico 2014</w:t>
      </w:r>
      <w:r w:rsidRPr="00A860B6">
        <w:rPr>
          <w:rFonts w:ascii="Tahoma" w:hAnsi="Tahoma" w:cs="Tahoma"/>
          <w:i/>
          <w:sz w:val="24"/>
          <w:szCs w:val="24"/>
        </w:rPr>
        <w:t xml:space="preserve">  </w:t>
      </w:r>
      <w:r w:rsidRPr="00A860B6">
        <w:rPr>
          <w:rFonts w:ascii="Tahoma" w:hAnsi="Tahoma" w:cs="Tahoma"/>
          <w:sz w:val="24"/>
          <w:szCs w:val="24"/>
        </w:rPr>
        <w:t xml:space="preserve">si vede chiaramente che  Nuove Acque S.P.A. mette tra i ricavi un valore di  </w:t>
      </w:r>
      <w:r w:rsidRPr="00A860B6">
        <w:rPr>
          <w:rFonts w:ascii="Tahoma" w:hAnsi="Tahoma" w:cs="Tahoma"/>
          <w:sz w:val="24"/>
          <w:szCs w:val="24"/>
          <w:highlight w:val="yellow"/>
        </w:rPr>
        <w:t>Euro 2.104.000</w:t>
      </w:r>
      <w:r w:rsidRPr="00A860B6">
        <w:rPr>
          <w:rFonts w:ascii="Tahoma" w:hAnsi="Tahoma" w:cs="Tahoma"/>
          <w:sz w:val="24"/>
          <w:szCs w:val="24"/>
        </w:rPr>
        <w:t xml:space="preserve">  con la voce </w:t>
      </w:r>
      <w:r w:rsidRPr="00A860B6">
        <w:rPr>
          <w:rFonts w:ascii="Tahoma" w:hAnsi="Tahoma" w:cs="Tahoma"/>
          <w:sz w:val="24"/>
          <w:szCs w:val="24"/>
          <w:highlight w:val="yellow"/>
        </w:rPr>
        <w:t>conguagli VRG</w:t>
      </w:r>
      <w:r w:rsidRPr="00A860B6">
        <w:rPr>
          <w:rFonts w:ascii="Tahoma" w:hAnsi="Tahoma" w:cs="Tahoma"/>
          <w:sz w:val="24"/>
          <w:szCs w:val="24"/>
        </w:rPr>
        <w:t xml:space="preserve"> che , sommati  ai 4.105.000  già registrati a tale titolo nel biennio 2012-2013, portano alla ragguardevole cifra di  </w:t>
      </w:r>
      <w:r w:rsidRPr="00A860B6">
        <w:rPr>
          <w:rFonts w:ascii="Tahoma" w:hAnsi="Tahoma" w:cs="Tahoma"/>
          <w:sz w:val="24"/>
          <w:szCs w:val="24"/>
          <w:highlight w:val="yellow"/>
        </w:rPr>
        <w:t>6.208.000 Euro</w:t>
      </w:r>
      <w:r w:rsidRPr="00A860B6">
        <w:rPr>
          <w:rFonts w:ascii="Tahoma" w:hAnsi="Tahoma" w:cs="Tahoma"/>
          <w:sz w:val="24"/>
          <w:szCs w:val="24"/>
        </w:rPr>
        <w:t xml:space="preserve"> di crediti verso clienti per </w:t>
      </w:r>
      <w:r w:rsidRPr="00A860B6">
        <w:rPr>
          <w:rFonts w:ascii="Tahoma" w:hAnsi="Tahoma" w:cs="Tahoma"/>
          <w:sz w:val="24"/>
          <w:szCs w:val="24"/>
          <w:highlight w:val="yellow"/>
        </w:rPr>
        <w:t>conguagli VRG</w:t>
      </w:r>
      <w:r w:rsidRPr="00A860B6">
        <w:rPr>
          <w:rFonts w:ascii="Tahoma" w:hAnsi="Tahoma" w:cs="Tahoma"/>
          <w:sz w:val="24"/>
          <w:szCs w:val="24"/>
        </w:rPr>
        <w:t xml:space="preserve">  non ancora  chiesti e addebitati agli utenti  ma che presumibilmente la società si ripromette di incassare nei prossimi anni. </w:t>
      </w: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 xml:space="preserve">Al 31 dicembre 2014 Nuove Acque risultava avere un </w:t>
      </w:r>
      <w:r w:rsidRPr="00A860B6">
        <w:rPr>
          <w:rFonts w:ascii="Tahoma" w:hAnsi="Tahoma" w:cs="Tahoma"/>
          <w:sz w:val="24"/>
          <w:szCs w:val="24"/>
          <w:highlight w:val="yellow"/>
        </w:rPr>
        <w:t>debito di 57.165.000,00 Euro</w:t>
      </w:r>
      <w:r w:rsidRPr="00A860B6">
        <w:rPr>
          <w:rFonts w:ascii="Tahoma" w:hAnsi="Tahoma" w:cs="Tahoma"/>
          <w:sz w:val="24"/>
          <w:szCs w:val="24"/>
        </w:rPr>
        <w:t xml:space="preserve"> verso le banche che evidentemente dovrà rimborsare, a rate annuali milionarie, entro il 2020.  </w:t>
      </w: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 xml:space="preserve">Nel solo 2014 gli interessi passivi maturati a carico di Nuove Acque su questo ingente debito verso le banche assommano a  2.800.000 Euro con un tasso di interesse di circa il 5%, ben al di sopra dei normali tassi di interessi ottenibili nell’attuale mercato finanziario , mentre l’ </w:t>
      </w:r>
      <w:r w:rsidRPr="00A860B6">
        <w:rPr>
          <w:rFonts w:ascii="Tahoma" w:hAnsi="Tahoma" w:cs="Tahoma"/>
          <w:sz w:val="24"/>
          <w:szCs w:val="24"/>
          <w:highlight w:val="yellow"/>
        </w:rPr>
        <w:t>utile di esercizio</w:t>
      </w:r>
      <w:r w:rsidRPr="00A860B6">
        <w:rPr>
          <w:rFonts w:ascii="Tahoma" w:hAnsi="Tahoma" w:cs="Tahoma"/>
          <w:sz w:val="24"/>
          <w:szCs w:val="24"/>
        </w:rPr>
        <w:t xml:space="preserve">, grazie ai supposti 2.104.000 Euro di ricavi per conguagli VRG,   è stato dichiarato </w:t>
      </w:r>
      <w:r w:rsidRPr="00A860B6">
        <w:rPr>
          <w:rFonts w:ascii="Tahoma" w:hAnsi="Tahoma" w:cs="Tahoma"/>
          <w:sz w:val="24"/>
          <w:szCs w:val="24"/>
          <w:highlight w:val="yellow"/>
        </w:rPr>
        <w:t>pari a 4.175.238 Euro</w:t>
      </w:r>
      <w:r w:rsidRPr="00A860B6">
        <w:rPr>
          <w:rFonts w:ascii="Tahoma" w:hAnsi="Tahoma" w:cs="Tahoma"/>
          <w:sz w:val="24"/>
          <w:szCs w:val="24"/>
        </w:rPr>
        <w:t>.</w:t>
      </w: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Nel contempo si deve registrare la diminuzione degli investimenti realizzati da parte di Nuove Acque nel servizio idrico.</w:t>
      </w: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In un quadro come quello sopra esposto pare evidentemente poco opportuno che da parte dell’azienda si dia luogo alla distribuzione di dividendi oltre che insistere nell’elargire centinaia di migliaia di euro all’anno per consulenze ai soci privati industriali.</w:t>
      </w: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Non è giustificabile in nessun modo che i soci si spartiscano utili che per metà sono basati su presunti futuri ricavi  e  in  presenza di una così elevata situazione debitoria che finirà per gravare solo ed esclusivamente sulle spalle dei cittadini-utenti , i quali già subiscono continui rincari delle bollette dell’acqua  causati da ingiustificati aumenti  delle tariffe.</w:t>
      </w:r>
    </w:p>
    <w:p w:rsidR="00A860B6" w:rsidRPr="00A860B6" w:rsidRDefault="00A860B6" w:rsidP="00A860B6">
      <w:pPr>
        <w:pStyle w:val="Normale1"/>
        <w:jc w:val="both"/>
        <w:rPr>
          <w:rFonts w:ascii="Tahoma" w:hAnsi="Tahoma" w:cs="Tahoma"/>
          <w:sz w:val="24"/>
          <w:szCs w:val="24"/>
        </w:rPr>
      </w:pP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 xml:space="preserve">Essendo il Comune di </w:t>
      </w:r>
      <w:r>
        <w:rPr>
          <w:rFonts w:ascii="Tahoma" w:hAnsi="Tahoma" w:cs="Tahoma"/>
          <w:sz w:val="24"/>
          <w:szCs w:val="24"/>
        </w:rPr>
        <w:t>Montepulciano</w:t>
      </w:r>
      <w:r w:rsidRPr="00A860B6">
        <w:rPr>
          <w:rFonts w:ascii="Tahoma" w:hAnsi="Tahoma" w:cs="Tahoma"/>
          <w:sz w:val="24"/>
          <w:szCs w:val="24"/>
        </w:rPr>
        <w:t xml:space="preserve"> uno dei soci di Nuove Acque S.P.A.</w:t>
      </w:r>
    </w:p>
    <w:p w:rsidR="00A860B6" w:rsidRPr="00A860B6" w:rsidRDefault="00A860B6" w:rsidP="00A860B6">
      <w:pPr>
        <w:pStyle w:val="Normale1"/>
        <w:jc w:val="both"/>
        <w:rPr>
          <w:rFonts w:ascii="Tahoma" w:hAnsi="Tahoma" w:cs="Tahoma"/>
          <w:sz w:val="24"/>
          <w:szCs w:val="24"/>
        </w:rPr>
      </w:pPr>
    </w:p>
    <w:p w:rsidR="00A860B6" w:rsidRPr="00A860B6" w:rsidRDefault="00A860B6" w:rsidP="00A860B6">
      <w:pPr>
        <w:pStyle w:val="Normale1"/>
        <w:jc w:val="both"/>
        <w:rPr>
          <w:rFonts w:ascii="Tahoma" w:hAnsi="Tahoma" w:cs="Tahoma"/>
          <w:sz w:val="24"/>
          <w:szCs w:val="24"/>
        </w:rPr>
      </w:pPr>
      <w:r w:rsidRPr="00A860B6">
        <w:rPr>
          <w:rFonts w:ascii="Tahoma" w:hAnsi="Tahoma" w:cs="Tahoma"/>
          <w:sz w:val="24"/>
          <w:szCs w:val="24"/>
        </w:rPr>
        <w:t xml:space="preserve">                                                     </w:t>
      </w:r>
      <w:r>
        <w:rPr>
          <w:rFonts w:ascii="Tahoma" w:hAnsi="Tahoma" w:cs="Tahoma"/>
          <w:b/>
          <w:sz w:val="24"/>
          <w:szCs w:val="24"/>
        </w:rPr>
        <w:t>SI CHIEDE</w:t>
      </w:r>
    </w:p>
    <w:p w:rsidR="00A860B6" w:rsidRPr="00A860B6" w:rsidRDefault="00A860B6" w:rsidP="00A860B6">
      <w:pPr>
        <w:pStyle w:val="Normale1"/>
        <w:jc w:val="both"/>
        <w:rPr>
          <w:rFonts w:ascii="Tahoma" w:hAnsi="Tahoma" w:cs="Tahoma"/>
          <w:sz w:val="24"/>
          <w:szCs w:val="24"/>
        </w:rPr>
      </w:pPr>
    </w:p>
    <w:p w:rsidR="00A860B6" w:rsidRPr="00A860B6" w:rsidRDefault="00A860B6" w:rsidP="00A860B6">
      <w:pPr>
        <w:pStyle w:val="Normale1"/>
        <w:numPr>
          <w:ilvl w:val="0"/>
          <w:numId w:val="1"/>
        </w:numPr>
        <w:ind w:hanging="360"/>
        <w:contextualSpacing/>
        <w:jc w:val="both"/>
        <w:rPr>
          <w:rFonts w:ascii="Tahoma" w:hAnsi="Tahoma" w:cs="Tahoma"/>
          <w:sz w:val="24"/>
          <w:szCs w:val="24"/>
        </w:rPr>
      </w:pPr>
      <w:r w:rsidRPr="00A860B6">
        <w:rPr>
          <w:rFonts w:ascii="Tahoma" w:hAnsi="Tahoma" w:cs="Tahoma"/>
          <w:sz w:val="24"/>
          <w:szCs w:val="24"/>
        </w:rPr>
        <w:t>se l’operato descritto nelle premesse  è da ritenersi lecito e legale ai sensi delle normative in materia.</w:t>
      </w:r>
    </w:p>
    <w:p w:rsidR="00A860B6" w:rsidRPr="00A860B6" w:rsidRDefault="00A860B6" w:rsidP="00A860B6">
      <w:pPr>
        <w:pStyle w:val="Normale1"/>
        <w:numPr>
          <w:ilvl w:val="0"/>
          <w:numId w:val="1"/>
        </w:numPr>
        <w:ind w:hanging="360"/>
        <w:contextualSpacing/>
        <w:jc w:val="both"/>
        <w:rPr>
          <w:rFonts w:ascii="Tahoma" w:hAnsi="Tahoma" w:cs="Tahoma"/>
          <w:sz w:val="24"/>
          <w:szCs w:val="24"/>
        </w:rPr>
      </w:pPr>
      <w:r w:rsidRPr="00A860B6">
        <w:rPr>
          <w:rFonts w:ascii="Tahoma" w:hAnsi="Tahoma" w:cs="Tahoma"/>
          <w:sz w:val="24"/>
          <w:szCs w:val="24"/>
        </w:rPr>
        <w:t>se non si ritiene opportuno trattare l’argomento nella competente commissione Controllo e Garanzia.</w:t>
      </w:r>
    </w:p>
    <w:p w:rsidR="00A860B6" w:rsidRDefault="00A860B6" w:rsidP="00A860B6">
      <w:pPr>
        <w:pStyle w:val="Normale1"/>
        <w:numPr>
          <w:ilvl w:val="0"/>
          <w:numId w:val="1"/>
        </w:numPr>
        <w:ind w:hanging="360"/>
        <w:contextualSpacing/>
        <w:jc w:val="both"/>
        <w:rPr>
          <w:rFonts w:ascii="Tahoma" w:hAnsi="Tahoma" w:cs="Tahoma"/>
          <w:sz w:val="24"/>
          <w:szCs w:val="24"/>
        </w:rPr>
      </w:pPr>
      <w:r w:rsidRPr="00A860B6">
        <w:rPr>
          <w:rFonts w:ascii="Tahoma" w:hAnsi="Tahoma" w:cs="Tahoma"/>
          <w:sz w:val="24"/>
          <w:szCs w:val="24"/>
        </w:rPr>
        <w:t xml:space="preserve">Se non si ritiene opportuno ,  tramite il rappresentate del Comune di </w:t>
      </w:r>
      <w:r>
        <w:rPr>
          <w:rFonts w:ascii="Tahoma" w:hAnsi="Tahoma" w:cs="Tahoma"/>
          <w:sz w:val="24"/>
          <w:szCs w:val="24"/>
        </w:rPr>
        <w:t>Montepulciano</w:t>
      </w:r>
      <w:r w:rsidRPr="00A860B6">
        <w:rPr>
          <w:rFonts w:ascii="Tahoma" w:hAnsi="Tahoma" w:cs="Tahoma"/>
          <w:sz w:val="24"/>
          <w:szCs w:val="24"/>
        </w:rPr>
        <w:t xml:space="preserve"> nel C.D.A. di Nuove Acque S.P.A. , chiedere che non si proceda alla spartizione dei dividendi tra gli azionisti e che non si deliberi, in futuro, di destinare a dividendi l’utile d’esercizio o parte </w:t>
      </w:r>
      <w:r w:rsidRPr="00A860B6">
        <w:rPr>
          <w:rFonts w:ascii="Tahoma" w:hAnsi="Tahoma" w:cs="Tahoma"/>
          <w:sz w:val="24"/>
          <w:szCs w:val="24"/>
        </w:rPr>
        <w:lastRenderedPageBreak/>
        <w:t>di esso, fino a che non sarà ripianata la situazione debitoria dell’azienda nei confronti delle banche.</w:t>
      </w:r>
    </w:p>
    <w:p w:rsidR="007D6CEE" w:rsidRDefault="007D6CEE" w:rsidP="007D6CEE">
      <w:pPr>
        <w:pStyle w:val="Normale1"/>
        <w:contextualSpacing/>
        <w:jc w:val="both"/>
        <w:rPr>
          <w:rFonts w:ascii="Tahoma" w:hAnsi="Tahoma" w:cs="Tahoma"/>
          <w:sz w:val="24"/>
          <w:szCs w:val="24"/>
        </w:rPr>
      </w:pPr>
    </w:p>
    <w:p w:rsidR="007D6CEE" w:rsidRDefault="007D6CEE" w:rsidP="007D6CEE">
      <w:pPr>
        <w:pStyle w:val="Normale1"/>
        <w:contextualSpacing/>
        <w:jc w:val="both"/>
        <w:rPr>
          <w:rFonts w:ascii="Tahoma" w:hAnsi="Tahoma" w:cs="Tahoma"/>
          <w:sz w:val="24"/>
          <w:szCs w:val="24"/>
        </w:rPr>
      </w:pPr>
      <w:r>
        <w:rPr>
          <w:rFonts w:ascii="Tahoma" w:hAnsi="Tahoma" w:cs="Tahoma"/>
          <w:sz w:val="24"/>
          <w:szCs w:val="24"/>
        </w:rPr>
        <w:t>Per tale interrogazione si richiede risposta scritta.</w:t>
      </w:r>
      <w:bookmarkStart w:id="0" w:name="_GoBack"/>
      <w:bookmarkEnd w:id="0"/>
    </w:p>
    <w:p w:rsidR="00A860B6" w:rsidRDefault="00A860B6" w:rsidP="00A227D1">
      <w:pPr>
        <w:pStyle w:val="Normale1"/>
        <w:ind w:left="720"/>
        <w:contextualSpacing/>
        <w:jc w:val="both"/>
        <w:rPr>
          <w:rFonts w:ascii="Tahoma" w:hAnsi="Tahoma" w:cs="Tahoma"/>
          <w:sz w:val="24"/>
          <w:szCs w:val="24"/>
        </w:rPr>
      </w:pPr>
    </w:p>
    <w:p w:rsidR="00A860B6" w:rsidRPr="00A227D1" w:rsidRDefault="00A860B6" w:rsidP="00A860B6">
      <w:pPr>
        <w:pStyle w:val="Normale1"/>
        <w:contextualSpacing/>
        <w:jc w:val="both"/>
        <w:rPr>
          <w:rFonts w:ascii="Tahoma" w:hAnsi="Tahoma" w:cs="Tahoma"/>
          <w:i/>
          <w:sz w:val="24"/>
          <w:szCs w:val="24"/>
        </w:rPr>
      </w:pPr>
      <w:r w:rsidRPr="00A227D1">
        <w:rPr>
          <w:rFonts w:ascii="Tahoma" w:hAnsi="Tahoma" w:cs="Tahoma"/>
          <w:i/>
          <w:sz w:val="24"/>
          <w:szCs w:val="24"/>
        </w:rPr>
        <w:t>Montepulciano lì 12 Ottobre 2015</w:t>
      </w:r>
      <w:r w:rsidRPr="00A227D1">
        <w:rPr>
          <w:rFonts w:ascii="Tahoma" w:hAnsi="Tahoma" w:cs="Tahoma"/>
          <w:i/>
          <w:sz w:val="24"/>
          <w:szCs w:val="24"/>
        </w:rPr>
        <w:tab/>
      </w:r>
    </w:p>
    <w:p w:rsidR="00A860B6" w:rsidRDefault="00A860B6" w:rsidP="00A860B6">
      <w:pPr>
        <w:pStyle w:val="Normale1"/>
        <w:contextualSpacing/>
        <w:jc w:val="both"/>
        <w:rPr>
          <w:rFonts w:ascii="Tahoma" w:hAnsi="Tahoma" w:cs="Tahoma"/>
          <w:sz w:val="24"/>
          <w:szCs w:val="24"/>
        </w:rPr>
      </w:pPr>
    </w:p>
    <w:p w:rsidR="00A860B6" w:rsidRPr="00A227D1" w:rsidRDefault="00A860B6" w:rsidP="00A860B6">
      <w:pPr>
        <w:pStyle w:val="Normale1"/>
        <w:contextualSpacing/>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A227D1">
        <w:rPr>
          <w:rFonts w:ascii="Tahoma" w:hAnsi="Tahoma" w:cs="Tahoma"/>
          <w:sz w:val="24"/>
          <w:szCs w:val="24"/>
        </w:rPr>
        <w:t xml:space="preserve">   </w:t>
      </w:r>
      <w:r w:rsidRPr="00A227D1">
        <w:rPr>
          <w:rFonts w:ascii="Tahoma" w:hAnsi="Tahoma" w:cs="Tahoma"/>
          <w:b/>
          <w:sz w:val="24"/>
          <w:szCs w:val="24"/>
        </w:rPr>
        <w:t>Mauro Bianchi e Michele Abram</w:t>
      </w:r>
    </w:p>
    <w:p w:rsidR="00A860B6" w:rsidRPr="00A227D1" w:rsidRDefault="00A860B6" w:rsidP="00A860B6">
      <w:pPr>
        <w:pStyle w:val="Normale1"/>
        <w:contextualSpacing/>
        <w:jc w:val="both"/>
        <w:rPr>
          <w:rFonts w:ascii="Tahoma" w:hAnsi="Tahoma" w:cs="Tahoma"/>
          <w:i/>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A227D1">
        <w:rPr>
          <w:rFonts w:ascii="Tahoma" w:hAnsi="Tahoma" w:cs="Tahoma"/>
          <w:sz w:val="24"/>
          <w:szCs w:val="24"/>
        </w:rPr>
        <w:tab/>
      </w:r>
      <w:r w:rsidRPr="00A227D1">
        <w:rPr>
          <w:rFonts w:ascii="Tahoma" w:hAnsi="Tahoma" w:cs="Tahoma"/>
          <w:i/>
          <w:sz w:val="24"/>
          <w:szCs w:val="24"/>
        </w:rPr>
        <w:t>(</w:t>
      </w:r>
      <w:proofErr w:type="spellStart"/>
      <w:r w:rsidRPr="00A227D1">
        <w:rPr>
          <w:rFonts w:ascii="Tahoma" w:hAnsi="Tahoma" w:cs="Tahoma"/>
          <w:i/>
          <w:sz w:val="24"/>
          <w:szCs w:val="24"/>
        </w:rPr>
        <w:t>MoVimento</w:t>
      </w:r>
      <w:proofErr w:type="spellEnd"/>
      <w:r w:rsidRPr="00A227D1">
        <w:rPr>
          <w:rFonts w:ascii="Tahoma" w:hAnsi="Tahoma" w:cs="Tahoma"/>
          <w:i/>
          <w:sz w:val="24"/>
          <w:szCs w:val="24"/>
        </w:rPr>
        <w:t xml:space="preserve"> 5 Stelle di Montepulciano)</w:t>
      </w:r>
    </w:p>
    <w:p w:rsidR="005823C9" w:rsidRPr="00A860B6" w:rsidRDefault="005823C9" w:rsidP="00A860B6">
      <w:pPr>
        <w:jc w:val="both"/>
        <w:rPr>
          <w:rFonts w:ascii="Tahoma" w:hAnsi="Tahoma" w:cs="Tahoma"/>
          <w:sz w:val="24"/>
          <w:szCs w:val="24"/>
        </w:rPr>
      </w:pPr>
    </w:p>
    <w:sectPr w:rsidR="005823C9" w:rsidRPr="00A860B6" w:rsidSect="00A860B6">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31F"/>
    <w:multiLevelType w:val="multilevel"/>
    <w:tmpl w:val="802465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7"/>
    <w:rsid w:val="005823C9"/>
    <w:rsid w:val="007D6CEE"/>
    <w:rsid w:val="00A227D1"/>
    <w:rsid w:val="00A860B6"/>
    <w:rsid w:val="00DC5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0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860B6"/>
    <w:pPr>
      <w:spacing w:after="0"/>
    </w:pPr>
    <w:rPr>
      <w:rFonts w:ascii="Arial" w:eastAsia="Arial" w:hAnsi="Arial" w:cs="Arial"/>
      <w:color w:val="000000"/>
      <w:lang w:eastAsia="it-IT"/>
    </w:rPr>
  </w:style>
  <w:style w:type="paragraph" w:styleId="Testofumetto">
    <w:name w:val="Balloon Text"/>
    <w:basedOn w:val="Normale"/>
    <w:link w:val="TestofumettoCarattere"/>
    <w:uiPriority w:val="99"/>
    <w:semiHidden/>
    <w:unhideWhenUsed/>
    <w:rsid w:val="00A860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0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860B6"/>
    <w:pPr>
      <w:spacing w:after="0"/>
    </w:pPr>
    <w:rPr>
      <w:rFonts w:ascii="Arial" w:eastAsia="Arial" w:hAnsi="Arial" w:cs="Arial"/>
      <w:color w:val="000000"/>
      <w:lang w:eastAsia="it-IT"/>
    </w:rPr>
  </w:style>
  <w:style w:type="paragraph" w:styleId="Testofumetto">
    <w:name w:val="Balloon Text"/>
    <w:basedOn w:val="Normale"/>
    <w:link w:val="TestofumettoCarattere"/>
    <w:uiPriority w:val="99"/>
    <w:semiHidden/>
    <w:unhideWhenUsed/>
    <w:rsid w:val="00A860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3</cp:revision>
  <dcterms:created xsi:type="dcterms:W3CDTF">2015-10-06T08:21:00Z</dcterms:created>
  <dcterms:modified xsi:type="dcterms:W3CDTF">2015-10-12T07:59:00Z</dcterms:modified>
</cp:coreProperties>
</file>